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0" w:rsidRDefault="001E14D0" w:rsidP="001E14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F6D52">
        <w:rPr>
          <w:rFonts w:ascii="Arial" w:hAnsi="Arial" w:cs="Arial"/>
          <w:b/>
        </w:rPr>
        <w:t>KARTA PRZEDMIOTU</w:t>
      </w:r>
    </w:p>
    <w:p w:rsidR="001E14D0" w:rsidRPr="001E14D0" w:rsidRDefault="001E14D0" w:rsidP="001E14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267"/>
        <w:gridCol w:w="5831"/>
      </w:tblGrid>
      <w:tr w:rsidR="001E14D0" w:rsidTr="0050084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16.1-7WF-A5</w:t>
            </w:r>
            <w:r w:rsidRPr="001E6BAA">
              <w:rPr>
                <w:rFonts w:ascii="Arial" w:hAnsi="Arial" w:cs="Arial"/>
                <w:i/>
                <w:color w:val="auto"/>
                <w:sz w:val="20"/>
                <w:szCs w:val="18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F</w:t>
            </w:r>
          </w:p>
        </w:tc>
      </w:tr>
      <w:tr w:rsidR="001E14D0" w:rsidTr="00500847">
        <w:trPr>
          <w:cantSplit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Filozofia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Philosophy</w:t>
            </w:r>
            <w:proofErr w:type="spellEnd"/>
          </w:p>
        </w:tc>
      </w:tr>
      <w:tr w:rsidR="001E14D0" w:rsidTr="005008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838"/>
      </w:tblGrid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Iwona Kijewska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Iwona Kijewska</w:t>
            </w:r>
          </w:p>
        </w:tc>
      </w:tr>
      <w:tr w:rsidR="001E14D0" w:rsidTr="0050084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kije12@wp.pl</w:t>
            </w: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1E14D0" w:rsidTr="0050084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</w:t>
            </w:r>
          </w:p>
        </w:tc>
      </w:tr>
      <w:tr w:rsidR="001E14D0" w:rsidTr="00500847">
        <w:trPr>
          <w:trHeight w:val="27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brak</w:t>
            </w: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1E14D0" w:rsidTr="00500847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E14D0" w:rsidRDefault="001E14D0" w:rsidP="00500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E14D0" w:rsidRDefault="001E14D0" w:rsidP="0050084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1E14D0" w:rsidTr="00500847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4D0" w:rsidRDefault="001E14D0" w:rsidP="00500847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1E14D0" w:rsidRDefault="001E14D0" w:rsidP="00500847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4D0" w:rsidRDefault="001E14D0" w:rsidP="00500847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4D0" w:rsidRDefault="001E14D0" w:rsidP="00500847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1E14D0" w:rsidRDefault="001E14D0" w:rsidP="0050084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1E14D0" w:rsidRDefault="001E14D0" w:rsidP="00500847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</w:p>
          <w:p w:rsidR="001E14D0" w:rsidRDefault="001E14D0" w:rsidP="00500847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zaj</w:t>
            </w:r>
            <w:r>
              <w:rPr>
                <w:rStyle w:val="Bodytext39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cia tradycyjne w pomieszczeniu dydaktycznym UJK</w:t>
            </w:r>
          </w:p>
        </w:tc>
      </w:tr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1E14D0" w:rsidTr="0050084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Słowne (wykład, pogadanki, opis, ,opowiadania), oglądowe , inaczej percepcyjnych ( wykorzystanie  technicznych środków dydaktycznych)</w:t>
            </w:r>
          </w:p>
        </w:tc>
      </w:tr>
      <w:tr w:rsidR="001E14D0" w:rsidTr="00500847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  <w:p w:rsidR="001E14D0" w:rsidRDefault="001E14D0" w:rsidP="0050084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McInerney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P., Wstęp do filozofii „Zysk i Ska” 1998</w:t>
            </w:r>
          </w:p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Stępień A.B., Wstęp do filozofii, Lublin 2001</w:t>
            </w:r>
          </w:p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Palacz R., Klasycy filozofii, Dowolne wydanie ,</w:t>
            </w:r>
          </w:p>
          <w:p w:rsidR="001E14D0" w:rsidRDefault="001E14D0" w:rsidP="001E14D0">
            <w:pPr>
              <w:numPr>
                <w:ilvl w:val="0"/>
                <w:numId w:val="2"/>
              </w:numPr>
              <w:ind w:left="252" w:hanging="283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Hersch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J., Wielcy myśliciele Zachodu. Dzieje filozoficznego zdziwienia, Warszawa 2001.</w:t>
            </w:r>
          </w:p>
        </w:tc>
      </w:tr>
      <w:tr w:rsidR="001E14D0" w:rsidTr="00500847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1E14D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Legutko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R., Etyka absolutna i społeczeństwo otwarte, Kraków 1998</w:t>
            </w:r>
          </w:p>
          <w:p w:rsidR="001E14D0" w:rsidRDefault="001E14D0" w:rsidP="001E14D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Heller M., Filozofia przyrody, Kraków 2004</w:t>
            </w:r>
          </w:p>
          <w:p w:rsidR="001E14D0" w:rsidRDefault="001E14D0" w:rsidP="001E14D0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Starzyńska E., Kościuszko, Filozoficzne koncepcje człowieka, Warszawa 1996</w:t>
            </w:r>
          </w:p>
        </w:tc>
      </w:tr>
    </w:tbl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rPr>
          <w:rFonts w:ascii="Arial" w:hAnsi="Arial" w:cs="Arial"/>
          <w:b/>
          <w:color w:val="auto"/>
          <w:sz w:val="18"/>
          <w:szCs w:val="18"/>
        </w:rPr>
      </w:pPr>
    </w:p>
    <w:p w:rsidR="001E14D0" w:rsidRDefault="001E14D0" w:rsidP="001E14D0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p w:rsidR="001E14D0" w:rsidRDefault="001E14D0" w:rsidP="001E14D0">
      <w:pPr>
        <w:ind w:left="993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1E14D0" w:rsidTr="00500847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D0" w:rsidRDefault="001E14D0" w:rsidP="001E14D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1E14D0" w:rsidRDefault="001E14D0" w:rsidP="0050084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C1-student zna przedmiot, aspekt, cel i metodę filozofii; zna główne koncepcje filozoficzne, założenia etyki normatywnej i deontologii, zna warunki racjonalności myślenia, zna filozoficzne modele koncepcji człowieka</w:t>
            </w:r>
          </w:p>
          <w:p w:rsidR="001E14D0" w:rsidRDefault="001E14D0" w:rsidP="0050084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C2- student potrafi: określić czym zajmuje się filozofia jako nauka, podać przykłady głównych idei filozoficznych i ich przedstawicieli, założenia filozoficznej koncepcji wiedzy naukowej,</w:t>
            </w:r>
          </w:p>
          <w:p w:rsidR="001E14D0" w:rsidRDefault="001E14D0" w:rsidP="0050084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1E14D0" w:rsidRDefault="001E14D0" w:rsidP="001E14D0">
      <w:pPr>
        <w:rPr>
          <w:rFonts w:ascii="Times New Roman" w:hAnsi="Times New Roman" w:cs="Times New Roman"/>
          <w:b/>
          <w:sz w:val="20"/>
          <w:szCs w:val="20"/>
        </w:rPr>
      </w:pPr>
    </w:p>
    <w:p w:rsidR="001E14D0" w:rsidRDefault="001E14D0" w:rsidP="001E14D0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E14D0" w:rsidTr="00500847">
        <w:trPr>
          <w:trHeight w:val="65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4D0" w:rsidRDefault="001E14D0" w:rsidP="001E14D0">
            <w:pPr>
              <w:numPr>
                <w:ilvl w:val="1"/>
                <w:numId w:val="1"/>
              </w:numPr>
              <w:rPr>
                <w:rStyle w:val="Bodytext39"/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Treści programowe</w:t>
            </w:r>
          </w:p>
          <w:p w:rsidR="001E14D0" w:rsidRDefault="001E14D0" w:rsidP="00500847">
            <w:pPr>
              <w:rPr>
                <w:rStyle w:val="Bodytext39"/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5981"/>
              <w:gridCol w:w="1218"/>
              <w:gridCol w:w="1489"/>
            </w:tblGrid>
            <w:tr w:rsidR="001E14D0" w:rsidTr="00500847">
              <w:trPr>
                <w:cantSplit/>
                <w:trHeight w:val="304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1E14D0" w:rsidTr="00500847">
              <w:trPr>
                <w:cantSplit/>
                <w:trHeight w:val="260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9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1E14D0" w:rsidTr="00500847">
              <w:trPr>
                <w:trHeight w:val="202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Co to  jest filozofia. Podział wewnątrz dyscyplinarny.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II Główne koncepcje człowieka w filozofii starożytnej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Sokrates. Rozum i wiedza  drogą do szczęścia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43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Koncepcja człowieka u Platona, Koncepcja człowieka w dziełach Arystotelesa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Epikur z Samos. Człowiek ascetyczny hedonista , Stoicka koncepcja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3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III Człowiek w ujęciu chrześcijańskich filozofów średniowiecza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Koncepcja człowieka w filozofii Św. Augustyna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Człowiek jednością duszy i ciała – filozofia św. Tomasza z |Akwinu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5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IV główne koncepcje filozofii nowożytnej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G.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Picca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della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Mirandola Godność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Rene Descartes , Człowiek myślącym duchem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16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Thomas Hobbes, Człowiek człowiekowi wilkiem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B. Pascal, Człowiek myśląca trzcina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43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de la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Mettrie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, Człowiek maszyna, A.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Schopchenchauer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Nirwana – ostateczny cel 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F.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Nietzche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W poszukiwaniu nadczłowieka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V Człowiek w filozofii współczesnej </w:t>
                  </w:r>
                </w:p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Max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Scheler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 Człowiek jako zwierzę i człowiek jako osoba, J.P Sartre, Byt dla siebie i byt dla innego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J.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Mritain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Człowiek jako osoba, człowiek jako jednostka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1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E.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Munier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, Koncepcja osoby i personalistycznej wspólnoty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1E14D0" w:rsidTr="00500847">
              <w:trPr>
                <w:trHeight w:val="22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D0" w:rsidRDefault="001E14D0" w:rsidP="0050084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</w:tr>
          </w:tbl>
          <w:p w:rsidR="001E14D0" w:rsidRDefault="001E14D0" w:rsidP="005008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14D0" w:rsidRPr="008948F2" w:rsidRDefault="001E14D0" w:rsidP="001E14D0">
      <w:pPr>
        <w:numPr>
          <w:ilvl w:val="1"/>
          <w:numId w:val="1"/>
        </w:numPr>
        <w:spacing w:before="24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Przedmiotowe efekty kształcenia (średnia liczba efektów (5)</w:t>
      </w:r>
      <w:r>
        <w:rPr>
          <w:rFonts w:ascii="Arial" w:hAnsi="Arial" w:cs="Arial"/>
          <w:b/>
          <w:color w:val="auto"/>
          <w:sz w:val="18"/>
          <w:szCs w:val="18"/>
        </w:rPr>
        <w:softHyphen/>
        <w:t>)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232"/>
        <w:gridCol w:w="1134"/>
        <w:gridCol w:w="1276"/>
        <w:gridCol w:w="1134"/>
      </w:tblGrid>
      <w:tr w:rsidR="001E14D0" w:rsidTr="00E1122A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4D0" w:rsidRDefault="001E14D0" w:rsidP="0050084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Student, który zaliczył przedmiot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Stopień nasycenia efektu kierunkowego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[+] [++] [+++]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Odniesienie do efektów kształcenia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WIEDZY: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obszaru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Posiada podstawową wiedzę oraz zna terminologię z zakresu nauk filozoficznych 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WF1P_W23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M1_W08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Prezentuje filozoficzne modele koncepcji człowieka,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Definiuje pojęcie wolnej woli, sumienia, norm moralnych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Wyjaśnia koncepcje holistyczne w kulturze i nauce europejskiej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WF1P_W23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M1_W08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Definiuje główne koncepcje filozoficzne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Charakteryzuje założenia etyki normatywnej oraz deontologii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 zasady nieuczciwości w nauce</w:t>
            </w:r>
          </w:p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Wymienia reguły określające właściwy sposób traktowania uczestników badań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WF1P_W25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M1_W09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M1_W10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Posługuje się argumentacją filozoficzną w zakresie nauk o kulturze fizycznej Opisuje główne koncepcje filozoficzne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WF1P_U23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M1_U04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M1_U10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M1_U12</w:t>
            </w: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sz w:val="18"/>
                <w:szCs w:val="18"/>
              </w:rPr>
              <w:t>KOMPETENCJI SPOŁECZNYCH: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4D0" w:rsidTr="00E1122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Jest świadomy jaki wpływ na życie społeczne mają poszczególne rozwiązania problemów z punktu widzenia odmiennej argumentacji filozoficznej 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14D0" w:rsidRPr="00892FFC" w:rsidRDefault="001E14D0" w:rsidP="0050084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92FFC">
              <w:rPr>
                <w:rFonts w:ascii="Arial" w:hAnsi="Arial" w:cs="Arial"/>
                <w:b/>
                <w:color w:val="auto"/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WF1P_K10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M1_K05</w:t>
            </w:r>
          </w:p>
          <w:p w:rsidR="001E14D0" w:rsidRDefault="001E14D0" w:rsidP="0050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M1_K03</w:t>
            </w:r>
          </w:p>
        </w:tc>
      </w:tr>
    </w:tbl>
    <w:p w:rsidR="001E14D0" w:rsidRDefault="001E14D0" w:rsidP="001E14D0">
      <w:pPr>
        <w:rPr>
          <w:rFonts w:ascii="Times New Roman" w:hAnsi="Times New Roman" w:cs="Times New Roman"/>
        </w:rPr>
      </w:pPr>
    </w:p>
    <w:p w:rsidR="001E14D0" w:rsidRDefault="001E14D0" w:rsidP="001E14D0">
      <w:pPr>
        <w:rPr>
          <w:rFonts w:ascii="Times New Roman" w:hAnsi="Times New Roman" w:cs="Times New Roman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1E14D0" w:rsidTr="00500847">
        <w:trPr>
          <w:trHeight w:val="27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Pr="008948F2" w:rsidRDefault="001E14D0" w:rsidP="001E14D0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1E14D0" w:rsidTr="0050084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ocenę 5</w:t>
            </w:r>
          </w:p>
        </w:tc>
      </w:tr>
      <w:tr w:rsidR="001E14D0" w:rsidTr="00500847">
        <w:trPr>
          <w:trHeight w:val="2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W-weryfikacja wiedzy i umiejętności na poziomie 50%-60%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81-90%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 - weryfikacja wiedzy i umiejętności na poziomie 91-100%</w:t>
            </w:r>
          </w:p>
        </w:tc>
      </w:tr>
    </w:tbl>
    <w:p w:rsidR="001E14D0" w:rsidRDefault="001E14D0" w:rsidP="001E14D0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1E14D0" w:rsidTr="00500847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Pr="008948F2" w:rsidRDefault="001E14D0" w:rsidP="001E14D0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Metody oceny dla każdej formy zajęć</w:t>
            </w:r>
          </w:p>
        </w:tc>
      </w:tr>
      <w:tr w:rsidR="001E14D0" w:rsidTr="0050084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Dyskusje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</w:t>
            </w:r>
          </w:p>
        </w:tc>
      </w:tr>
      <w:tr w:rsidR="001E14D0" w:rsidTr="0050084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E14D0" w:rsidRDefault="001E14D0" w:rsidP="001E14D0">
      <w:pPr>
        <w:rPr>
          <w:rFonts w:ascii="Times New Roman" w:hAnsi="Times New Roman" w:cs="Times New Roman"/>
          <w:sz w:val="16"/>
          <w:szCs w:val="16"/>
        </w:rPr>
      </w:pPr>
    </w:p>
    <w:p w:rsidR="001E14D0" w:rsidRDefault="001E14D0" w:rsidP="001E14D0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BILANS PUNKTÓW ECTS – NAKŁAD PRACY STUDENTA</w:t>
      </w:r>
    </w:p>
    <w:p w:rsidR="001E14D0" w:rsidRDefault="001E14D0" w:rsidP="001E14D0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1416"/>
        <w:gridCol w:w="1637"/>
      </w:tblGrid>
      <w:tr w:rsidR="001E14D0" w:rsidTr="00500847">
        <w:trPr>
          <w:cantSplit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Kategoria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Obciążenie studenta</w:t>
            </w:r>
          </w:p>
        </w:tc>
      </w:tr>
      <w:tr w:rsidR="001E14D0" w:rsidTr="005008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Default="001E14D0" w:rsidP="005008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stacjonarne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</w:t>
            </w:r>
          </w:p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niestacjonarne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wykładach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konsultacjach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wykładu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Przygotowanie do egzaminu/kolokwium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Opracowanie prezentacji multimedialnej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ŁĄCZNA LICZBA GODZIN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55</w:t>
            </w:r>
          </w:p>
        </w:tc>
      </w:tr>
      <w:tr w:rsidR="001E14D0" w:rsidTr="00500847"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 ECTS za przedmiot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E14D0" w:rsidRDefault="001E14D0" w:rsidP="0050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FF0000"/>
          <w:sz w:val="18"/>
          <w:szCs w:val="18"/>
        </w:rPr>
      </w:pP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FF0000"/>
          <w:sz w:val="18"/>
          <w:szCs w:val="18"/>
        </w:rPr>
      </w:pP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auto"/>
          <w:sz w:val="18"/>
          <w:szCs w:val="18"/>
        </w:rPr>
        <w:t>Przyjmuję do realizacji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   (data i podpisy osób prowadzących przedmiot w danym roku akademickim)</w:t>
      </w: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1E14D0" w:rsidRDefault="001E14D0" w:rsidP="001E14D0">
      <w:pPr>
        <w:tabs>
          <w:tab w:val="left" w:pos="655"/>
        </w:tabs>
        <w:ind w:right="20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sz w:val="18"/>
          <w:szCs w:val="18"/>
        </w:rPr>
        <w:tab/>
      </w:r>
      <w:r>
        <w:rPr>
          <w:rFonts w:ascii="Arial" w:eastAsia="Times New Roman" w:hAnsi="Arial" w:cs="Arial"/>
          <w:i/>
          <w:color w:val="auto"/>
          <w:sz w:val="18"/>
          <w:szCs w:val="18"/>
        </w:rPr>
        <w:tab/>
      </w:r>
      <w:r>
        <w:rPr>
          <w:rFonts w:ascii="Arial" w:eastAsia="Times New Roman" w:hAnsi="Arial" w:cs="Arial"/>
          <w:i/>
          <w:color w:val="auto"/>
          <w:sz w:val="18"/>
          <w:szCs w:val="18"/>
        </w:rPr>
        <w:tab/>
      </w:r>
      <w:r>
        <w:rPr>
          <w:rFonts w:ascii="Arial" w:eastAsia="Times New Roman" w:hAnsi="Arial" w:cs="Arial"/>
          <w:i/>
          <w:color w:val="auto"/>
          <w:sz w:val="18"/>
          <w:szCs w:val="18"/>
        </w:rPr>
        <w:tab/>
        <w:t>.....................................................................................................................................</w:t>
      </w:r>
    </w:p>
    <w:p w:rsidR="001E14D0" w:rsidRDefault="001E14D0" w:rsidP="001E14D0">
      <w:pPr>
        <w:rPr>
          <w:rFonts w:ascii="Arial" w:hAnsi="Arial" w:cs="Arial"/>
          <w:color w:val="auto"/>
          <w:sz w:val="18"/>
          <w:szCs w:val="18"/>
        </w:rPr>
      </w:pPr>
    </w:p>
    <w:p w:rsidR="00C810C8" w:rsidRPr="001E14D0" w:rsidRDefault="00C810C8" w:rsidP="001E14D0">
      <w:pPr>
        <w:rPr>
          <w:rFonts w:ascii="Arial" w:hAnsi="Arial" w:cs="Arial"/>
          <w:b/>
          <w:color w:val="auto"/>
        </w:rPr>
      </w:pPr>
    </w:p>
    <w:sectPr w:rsidR="00C810C8" w:rsidRPr="001E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D50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18D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6E840155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D0"/>
    <w:rsid w:val="001E14D0"/>
    <w:rsid w:val="00C810C8"/>
    <w:rsid w:val="00E1122A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D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1E14D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1E14D0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1E14D0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4D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1E14D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1E14D0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1E14D0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2015-10-30T08:40:00Z</dcterms:created>
  <dcterms:modified xsi:type="dcterms:W3CDTF">2015-11-04T08:12:00Z</dcterms:modified>
</cp:coreProperties>
</file>